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31AD" w14:textId="730C45B0" w:rsidR="006A3A39" w:rsidRPr="00084E7C" w:rsidRDefault="00E46588" w:rsidP="009C3277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4E7C">
        <w:rPr>
          <w:rFonts w:ascii="Times New Roman" w:hAnsi="Times New Roman" w:cs="Times New Roman"/>
          <w:b/>
          <w:bCs/>
          <w:sz w:val="26"/>
          <w:szCs w:val="26"/>
        </w:rPr>
        <w:t>Setor de saúde animal deve crescer 9% ao ano até 2027</w:t>
      </w:r>
    </w:p>
    <w:p w14:paraId="2C2A614C" w14:textId="6651A2E3" w:rsidR="006A3A39" w:rsidRPr="00084E7C" w:rsidRDefault="00B2534F" w:rsidP="009C3277">
      <w:pPr>
        <w:pStyle w:val="SemEspaamen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84E7C">
        <w:rPr>
          <w:rFonts w:ascii="Times New Roman" w:hAnsi="Times New Roman" w:cs="Times New Roman"/>
          <w:i/>
          <w:iCs/>
          <w:sz w:val="26"/>
          <w:szCs w:val="26"/>
        </w:rPr>
        <w:t>Estudo aponta que c</w:t>
      </w:r>
      <w:r w:rsidR="00A17D41" w:rsidRPr="00084E7C">
        <w:rPr>
          <w:rFonts w:ascii="Times New Roman" w:hAnsi="Times New Roman" w:cs="Times New Roman"/>
          <w:i/>
          <w:iCs/>
          <w:sz w:val="26"/>
          <w:szCs w:val="26"/>
        </w:rPr>
        <w:t xml:space="preserve">rescimento do setor </w:t>
      </w:r>
      <w:r w:rsidRPr="00084E7C">
        <w:rPr>
          <w:rFonts w:ascii="Times New Roman" w:hAnsi="Times New Roman" w:cs="Times New Roman"/>
          <w:i/>
          <w:iCs/>
          <w:sz w:val="26"/>
          <w:szCs w:val="26"/>
        </w:rPr>
        <w:t>vai im</w:t>
      </w:r>
      <w:r w:rsidR="00A17D41" w:rsidRPr="00084E7C">
        <w:rPr>
          <w:rFonts w:ascii="Times New Roman" w:hAnsi="Times New Roman" w:cs="Times New Roman"/>
          <w:i/>
          <w:iCs/>
          <w:sz w:val="26"/>
          <w:szCs w:val="26"/>
        </w:rPr>
        <w:t xml:space="preserve">pulsionar atividades de fusões e aquisições </w:t>
      </w:r>
      <w:r w:rsidR="00084E7C">
        <w:rPr>
          <w:rFonts w:ascii="Times New Roman" w:hAnsi="Times New Roman" w:cs="Times New Roman"/>
          <w:i/>
          <w:iCs/>
          <w:sz w:val="26"/>
          <w:szCs w:val="26"/>
        </w:rPr>
        <w:t>no Brasil</w:t>
      </w:r>
      <w:r w:rsidR="00A17D41" w:rsidRPr="00084E7C">
        <w:rPr>
          <w:rFonts w:ascii="Times New Roman" w:hAnsi="Times New Roman" w:cs="Times New Roman"/>
          <w:i/>
          <w:iCs/>
          <w:sz w:val="26"/>
          <w:szCs w:val="26"/>
        </w:rPr>
        <w:t>; país</w:t>
      </w:r>
      <w:r w:rsidR="00E46588" w:rsidRPr="00084E7C">
        <w:rPr>
          <w:rFonts w:ascii="Times New Roman" w:hAnsi="Times New Roman" w:cs="Times New Roman"/>
          <w:i/>
          <w:iCs/>
          <w:sz w:val="26"/>
          <w:szCs w:val="26"/>
        </w:rPr>
        <w:t xml:space="preserve"> está entre os principais produtores globais de proteína animal e </w:t>
      </w:r>
      <w:r w:rsidR="006A3A39" w:rsidRPr="00084E7C">
        <w:rPr>
          <w:rFonts w:ascii="Times New Roman" w:hAnsi="Times New Roman" w:cs="Times New Roman"/>
          <w:i/>
          <w:iCs/>
          <w:sz w:val="26"/>
          <w:szCs w:val="26"/>
        </w:rPr>
        <w:t xml:space="preserve">tem </w:t>
      </w:r>
      <w:r w:rsidR="00A94973" w:rsidRPr="00084E7C">
        <w:rPr>
          <w:rFonts w:ascii="Times New Roman" w:hAnsi="Times New Roman" w:cs="Times New Roman"/>
          <w:i/>
          <w:iCs/>
          <w:sz w:val="26"/>
          <w:szCs w:val="26"/>
        </w:rPr>
        <w:t>o maior rebanho bovino do mundo</w:t>
      </w:r>
    </w:p>
    <w:p w14:paraId="1B188344" w14:textId="77777777" w:rsidR="006A3A39" w:rsidRPr="006A3A39" w:rsidRDefault="006A3A39" w:rsidP="006A3A3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D9ACADF" w14:textId="0DB7B54F" w:rsidR="007D070B" w:rsidRDefault="00B2534F" w:rsidP="007D07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setor de saúde animal deve crescer em média 9% ao ano e chegar ao final de 2027 movimentando aproximadamente R$ 15,3 bilhões</w:t>
      </w:r>
      <w:r w:rsidR="007D070B">
        <w:rPr>
          <w:rFonts w:ascii="Times New Roman" w:hAnsi="Times New Roman" w:cs="Times New Roman"/>
          <w:sz w:val="24"/>
          <w:szCs w:val="24"/>
        </w:rPr>
        <w:t xml:space="preserve">. É o que aponta uma modelagem econômica realizada pela Redirection International, assessoria especializada em fusões &amp; aquisições </w:t>
      </w:r>
      <w:r w:rsidR="0069676A">
        <w:rPr>
          <w:rFonts w:ascii="Times New Roman" w:hAnsi="Times New Roman" w:cs="Times New Roman"/>
          <w:sz w:val="24"/>
          <w:szCs w:val="24"/>
        </w:rPr>
        <w:t xml:space="preserve">(M&amp;A) </w:t>
      </w:r>
      <w:r w:rsidR="007D070B">
        <w:rPr>
          <w:rFonts w:ascii="Times New Roman" w:hAnsi="Times New Roman" w:cs="Times New Roman"/>
          <w:sz w:val="24"/>
          <w:szCs w:val="24"/>
        </w:rPr>
        <w:t xml:space="preserve">ao analisar os dados de mercado e as variáveis macroeconômicas para </w:t>
      </w:r>
      <w:r w:rsidR="000149CC">
        <w:rPr>
          <w:rFonts w:ascii="Times New Roman" w:hAnsi="Times New Roman" w:cs="Times New Roman"/>
          <w:sz w:val="24"/>
          <w:szCs w:val="24"/>
        </w:rPr>
        <w:t>o período</w:t>
      </w:r>
      <w:r w:rsidR="007D070B">
        <w:rPr>
          <w:rFonts w:ascii="Times New Roman" w:hAnsi="Times New Roman" w:cs="Times New Roman"/>
          <w:sz w:val="24"/>
          <w:szCs w:val="24"/>
        </w:rPr>
        <w:t xml:space="preserve">. No ano passado, o faturamento do setor foi de R$ 10,79 bilhões, segundo informações do </w:t>
      </w:r>
      <w:r w:rsidR="007D070B" w:rsidRPr="007D070B">
        <w:rPr>
          <w:rFonts w:ascii="Times New Roman" w:hAnsi="Times New Roman" w:cs="Times New Roman"/>
          <w:sz w:val="24"/>
          <w:szCs w:val="24"/>
        </w:rPr>
        <w:t>Sindicato Nacional da Indústria de Produtos para Saúde Animal (</w:t>
      </w:r>
      <w:r w:rsidR="007D070B">
        <w:rPr>
          <w:rFonts w:ascii="Times New Roman" w:hAnsi="Times New Roman" w:cs="Times New Roman"/>
          <w:sz w:val="24"/>
          <w:szCs w:val="24"/>
        </w:rPr>
        <w:t>Sindan).</w:t>
      </w:r>
    </w:p>
    <w:p w14:paraId="1772655C" w14:textId="77777777" w:rsidR="007D070B" w:rsidRDefault="007D070B" w:rsidP="007D07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45688D4" w14:textId="0E5071D9" w:rsidR="00CC26E2" w:rsidRDefault="007D070B" w:rsidP="007D070B">
      <w:pPr>
        <w:pStyle w:val="SemEspaamento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dos principais </w:t>
      </w:r>
      <w:r w:rsidR="00084E7C">
        <w:rPr>
          <w:rFonts w:ascii="Times New Roman" w:hAnsi="Times New Roman" w:cs="Times New Roman"/>
          <w:sz w:val="24"/>
          <w:szCs w:val="24"/>
        </w:rPr>
        <w:t>motores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="00E46588">
        <w:rPr>
          <w:rFonts w:ascii="Times New Roman" w:hAnsi="Times New Roman" w:cs="Times New Roman"/>
          <w:sz w:val="24"/>
          <w:szCs w:val="24"/>
        </w:rPr>
        <w:t xml:space="preserve"> o crescimento</w:t>
      </w:r>
      <w:r>
        <w:rPr>
          <w:rFonts w:ascii="Times New Roman" w:hAnsi="Times New Roman" w:cs="Times New Roman"/>
          <w:sz w:val="24"/>
          <w:szCs w:val="24"/>
        </w:rPr>
        <w:t xml:space="preserve"> da indústria</w:t>
      </w:r>
      <w:r w:rsidR="00E46588">
        <w:rPr>
          <w:rFonts w:ascii="Times New Roman" w:hAnsi="Times New Roman" w:cs="Times New Roman"/>
          <w:sz w:val="24"/>
          <w:szCs w:val="24"/>
        </w:rPr>
        <w:t xml:space="preserve"> brasileira</w:t>
      </w:r>
      <w:r>
        <w:rPr>
          <w:rFonts w:ascii="Times New Roman" w:hAnsi="Times New Roman" w:cs="Times New Roman"/>
          <w:sz w:val="24"/>
          <w:szCs w:val="24"/>
        </w:rPr>
        <w:t xml:space="preserve"> de saúde animal </w:t>
      </w:r>
      <w:r w:rsidR="00084E7C">
        <w:rPr>
          <w:rFonts w:ascii="Times New Roman" w:hAnsi="Times New Roman" w:cs="Times New Roman"/>
          <w:sz w:val="24"/>
          <w:szCs w:val="24"/>
        </w:rPr>
        <w:t xml:space="preserve">é o tamanho do mercado nacional agropecuário e </w:t>
      </w:r>
      <w:r w:rsidR="00E46588">
        <w:rPr>
          <w:rFonts w:ascii="Times New Roman" w:hAnsi="Times New Roman" w:cs="Times New Roman"/>
          <w:sz w:val="24"/>
          <w:szCs w:val="24"/>
        </w:rPr>
        <w:t xml:space="preserve">a representatividade do país no contexto global de produção de proteína animal. Segundo o último levantamento feito pelo Instituto Brasileiro de Geografia e Estatística (IBGE), em 2022 o Brasil possuía o maior rebanho bovino do mundo, com cerca de </w:t>
      </w:r>
      <w:r w:rsidR="00CC26E2">
        <w:rPr>
          <w:rFonts w:ascii="Times New Roman" w:hAnsi="Times New Roman" w:cs="Times New Roman"/>
          <w:sz w:val="24"/>
          <w:szCs w:val="24"/>
        </w:rPr>
        <w:t xml:space="preserve">234 milhões de cabeças de gado. O país também é o segundo maior produtor global de aves, atrás apenas dos Estados Unidos, com uma produção anual de </w:t>
      </w:r>
      <w:r w:rsidR="00E46588" w:rsidRPr="00444B98">
        <w:rPr>
          <w:rStyle w:val="y2iqfc"/>
          <w:rFonts w:ascii="Times New Roman" w:hAnsi="Times New Roman" w:cs="Times New Roman"/>
          <w:sz w:val="24"/>
          <w:szCs w:val="24"/>
        </w:rPr>
        <w:t>14,8 mil</w:t>
      </w:r>
      <w:r w:rsidR="00E46588">
        <w:rPr>
          <w:rStyle w:val="y2iqfc"/>
          <w:rFonts w:ascii="Times New Roman" w:hAnsi="Times New Roman" w:cs="Times New Roman"/>
          <w:sz w:val="24"/>
          <w:szCs w:val="24"/>
        </w:rPr>
        <w:t>hões de</w:t>
      </w:r>
      <w:r w:rsidR="00E46588" w:rsidRPr="00444B98">
        <w:rPr>
          <w:rStyle w:val="y2iqfc"/>
          <w:rFonts w:ascii="Times New Roman" w:hAnsi="Times New Roman" w:cs="Times New Roman"/>
          <w:sz w:val="24"/>
          <w:szCs w:val="24"/>
        </w:rPr>
        <w:t xml:space="preserve"> toneladas de frango,</w:t>
      </w:r>
      <w:r w:rsidR="00CC26E2">
        <w:rPr>
          <w:rStyle w:val="y2iqfc"/>
          <w:rFonts w:ascii="Times New Roman" w:hAnsi="Times New Roman" w:cs="Times New Roman"/>
          <w:sz w:val="24"/>
          <w:szCs w:val="24"/>
        </w:rPr>
        <w:t xml:space="preserve"> de acordo com dados d</w:t>
      </w:r>
      <w:r w:rsidR="00CC26E2">
        <w:rPr>
          <w:rFonts w:ascii="Times New Roman" w:hAnsi="Times New Roman" w:cs="Times New Roman"/>
          <w:sz w:val="24"/>
          <w:szCs w:val="24"/>
        </w:rPr>
        <w:t xml:space="preserve">a </w:t>
      </w:r>
      <w:r w:rsidR="00CC26E2" w:rsidRPr="00444B98">
        <w:rPr>
          <w:rStyle w:val="y2iqfc"/>
          <w:rFonts w:ascii="Times New Roman" w:hAnsi="Times New Roman" w:cs="Times New Roman"/>
          <w:sz w:val="24"/>
          <w:szCs w:val="24"/>
        </w:rPr>
        <w:t>Associação Brasileira de Proteína Animal (ABPA)</w:t>
      </w:r>
      <w:r w:rsidR="00CC26E2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679816C5" w14:textId="77777777" w:rsidR="00CC26E2" w:rsidRDefault="00CC26E2" w:rsidP="007D07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B427C2F" w14:textId="479DB7CE" w:rsidR="001C4924" w:rsidRDefault="001C4924" w:rsidP="007D07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C26E2">
        <w:rPr>
          <w:rFonts w:ascii="Times New Roman" w:hAnsi="Times New Roman" w:cs="Times New Roman"/>
          <w:sz w:val="24"/>
          <w:szCs w:val="24"/>
        </w:rPr>
        <w:t>Apesar de o mercado ter crescido abaixo da média no ano passado, fechando em 4,2%</w:t>
      </w:r>
      <w:r w:rsidR="003F6900">
        <w:rPr>
          <w:rFonts w:ascii="Times New Roman" w:hAnsi="Times New Roman" w:cs="Times New Roman"/>
          <w:sz w:val="24"/>
          <w:szCs w:val="24"/>
        </w:rPr>
        <w:t xml:space="preserve"> e haver uma previsão de desaceleração no agronegócio brasileiro de um modo geral para 2024, o cenário a médio prazo é bastante positivo, com perspectivas de aumento na produção de proteína animal</w:t>
      </w:r>
      <w:r w:rsidR="003A750C">
        <w:rPr>
          <w:rFonts w:ascii="Times New Roman" w:hAnsi="Times New Roman" w:cs="Times New Roman"/>
          <w:sz w:val="24"/>
          <w:szCs w:val="24"/>
        </w:rPr>
        <w:t xml:space="preserve"> e exportações</w:t>
      </w:r>
      <w:r w:rsidR="003F6900">
        <w:rPr>
          <w:rFonts w:ascii="Times New Roman" w:hAnsi="Times New Roman" w:cs="Times New Roman"/>
          <w:sz w:val="24"/>
          <w:szCs w:val="24"/>
        </w:rPr>
        <w:t xml:space="preserve">. Isso deve estimular a atividade econômica e impulsionar o setor de saúde animal que movimenta mais de US$ </w:t>
      </w:r>
      <w:r w:rsidR="001401C7">
        <w:rPr>
          <w:rFonts w:ascii="Times New Roman" w:hAnsi="Times New Roman" w:cs="Times New Roman"/>
          <w:sz w:val="24"/>
          <w:szCs w:val="24"/>
        </w:rPr>
        <w:t>63</w:t>
      </w:r>
      <w:r w:rsidR="003F6900">
        <w:rPr>
          <w:rFonts w:ascii="Times New Roman" w:hAnsi="Times New Roman" w:cs="Times New Roman"/>
          <w:sz w:val="24"/>
          <w:szCs w:val="24"/>
        </w:rPr>
        <w:t xml:space="preserve"> bilhões em todo o mundo</w:t>
      </w:r>
      <w:r w:rsidR="001401C7">
        <w:rPr>
          <w:rFonts w:ascii="Times New Roman" w:hAnsi="Times New Roman" w:cs="Times New Roman"/>
          <w:sz w:val="24"/>
          <w:szCs w:val="24"/>
        </w:rPr>
        <w:t>, devendo chegar a US$ 117 bilhões até 2031, com um CAGR de 8,1</w:t>
      </w:r>
      <w:r w:rsidR="003A750C">
        <w:rPr>
          <w:rFonts w:ascii="Times New Roman" w:hAnsi="Times New Roman" w:cs="Times New Roman"/>
          <w:sz w:val="24"/>
          <w:szCs w:val="24"/>
        </w:rPr>
        <w:t>%</w:t>
      </w:r>
      <w:r w:rsidR="001401C7">
        <w:rPr>
          <w:rFonts w:ascii="Times New Roman" w:hAnsi="Times New Roman" w:cs="Times New Roman"/>
          <w:sz w:val="24"/>
          <w:szCs w:val="24"/>
        </w:rPr>
        <w:t xml:space="preserve"> durante o período segundo dados da Sky</w:t>
      </w:r>
      <w:r w:rsidR="003A750C">
        <w:rPr>
          <w:rFonts w:ascii="Times New Roman" w:hAnsi="Times New Roman" w:cs="Times New Roman"/>
          <w:sz w:val="24"/>
          <w:szCs w:val="24"/>
        </w:rPr>
        <w:t>q</w:t>
      </w:r>
      <w:r w:rsidR="001401C7">
        <w:rPr>
          <w:rFonts w:ascii="Times New Roman" w:hAnsi="Times New Roman" w:cs="Times New Roman"/>
          <w:sz w:val="24"/>
          <w:szCs w:val="24"/>
        </w:rPr>
        <w:t xml:space="preserve">uest”, </w:t>
      </w:r>
      <w:r>
        <w:rPr>
          <w:rFonts w:ascii="Times New Roman" w:hAnsi="Times New Roman" w:cs="Times New Roman"/>
          <w:sz w:val="24"/>
          <w:szCs w:val="24"/>
        </w:rPr>
        <w:t>destaca o economista Adam Patterson, sócio da Redirection International e um dos responsáveis pelo estudo.</w:t>
      </w:r>
    </w:p>
    <w:p w14:paraId="6E566C0B" w14:textId="77777777" w:rsidR="001401C7" w:rsidRDefault="001401C7" w:rsidP="007D07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203B9C5" w14:textId="3F2C5D19" w:rsidR="001401C7" w:rsidRDefault="001401C7" w:rsidP="007D07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 explica que o mercado em ascensão também reflete em mais investimentos em pesquisa e desenvolvimento de novos produtos de saúde animal, sobretudo relacionados à inovação como anticorpos monoclonais, células-tronco, tecnologias digitais, entre outras. “Uma das tendências deste mercado é que os fabricantes invistam cada vez mais no desenvolvimento de produtos mais eficazes para o controle e a prevenção de zoonoses, visando o aumento da produtividade para atender a uma demanda crescente por proteína animal em todo o mundo. Além disso, a indústria vem investindo em soluções ecologicamente corretas, o que pode criar</w:t>
      </w:r>
      <w:r w:rsidR="009C3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novas oportunidades no mercado e ser um diferencial para as empresas”, ressalta.</w:t>
      </w:r>
    </w:p>
    <w:p w14:paraId="799BB001" w14:textId="77777777" w:rsidR="009C3277" w:rsidRDefault="009C3277" w:rsidP="007D07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9614B5A" w14:textId="1ED2AD24" w:rsidR="00084E7C" w:rsidRDefault="00084E7C" w:rsidP="00084E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cenário também favorece as atividades de M&amp;A, sobretudo envolvendo a formação de grandes grupos regionais, segundo o estudo da Redirection International. Entre as tendências para o setor e que devem impulsionar as fusões e aquisições estão uma maior presença de grupos internacionais no mercado brasileiro, a busca por sustentabilidade ambiental, proteínas alternativas e soluções integradas para gestão agrícola, inovação em produtos farmacêuticos e biológicos veterinários, diversificação intersetorial, aquisição de portfólios de novas drogas e consolidação para maior escala e alcance de mercado das empresas. </w:t>
      </w:r>
    </w:p>
    <w:p w14:paraId="180B58AE" w14:textId="77777777" w:rsidR="00084E7C" w:rsidRDefault="00084E7C" w:rsidP="00084E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D22B9E6" w14:textId="2EA74DF0" w:rsidR="00084E7C" w:rsidRDefault="00084E7C" w:rsidP="00084E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estudo aponta algumas transações recentes registradas no mercado, principalmente em busca de inovação e novas tecnologias, como a aquisição da área de aquacultura da Elanco pela MSD Saúde Animal em março de 2024 e a aquisição da indústria </w:t>
      </w:r>
      <w:r w:rsidR="00F500B4">
        <w:rPr>
          <w:rFonts w:ascii="Times New Roman" w:hAnsi="Times New Roman" w:cs="Times New Roman"/>
          <w:sz w:val="24"/>
          <w:szCs w:val="24"/>
        </w:rPr>
        <w:t xml:space="preserve">brasileira </w:t>
      </w:r>
      <w:r>
        <w:rPr>
          <w:rFonts w:ascii="Times New Roman" w:hAnsi="Times New Roman" w:cs="Times New Roman"/>
          <w:sz w:val="24"/>
          <w:szCs w:val="24"/>
        </w:rPr>
        <w:t xml:space="preserve">de aditivos alimentares Oligo Basics pelo grupo belga Innovad Group, em maio deste ano, por exemplo. </w:t>
      </w:r>
    </w:p>
    <w:p w14:paraId="08FAE415" w14:textId="77777777" w:rsidR="00084E7C" w:rsidRDefault="00084E7C" w:rsidP="007D07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2E3D5A2" w14:textId="0972823C" w:rsidR="004461E0" w:rsidRDefault="009C3277" w:rsidP="007D07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fator que impulsiona o setor de saúde animal é o crescimento contínuo do mercado pet que, somente em 2023, movimentou R$ 68,7 bilhões de acordo com dados da Associação Brasileira da Indústria de Produtos para Animais de Estimação (Abinpet). O Brasil é o terceiro país com a maior população de animais de estimação do mundo, atrás apenas da China e dos Estados Unidos. </w:t>
      </w:r>
    </w:p>
    <w:p w14:paraId="51FC8D37" w14:textId="77777777" w:rsidR="004461E0" w:rsidRDefault="004461E0" w:rsidP="007D07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5E3FE4D" w14:textId="56AC413C" w:rsidR="005A48E7" w:rsidRPr="005A48E7" w:rsidRDefault="005A48E7" w:rsidP="005A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A48E7">
        <w:rPr>
          <w:rFonts w:ascii="Times New Roman" w:hAnsi="Times New Roman" w:cs="Times New Roman"/>
          <w:sz w:val="24"/>
          <w:szCs w:val="24"/>
        </w:rPr>
        <w:t xml:space="preserve">"O setor de saúde animal brasileiro está pronto para continuar sua recente trajetória de </w:t>
      </w:r>
      <w:r w:rsidR="009C3277">
        <w:rPr>
          <w:rFonts w:ascii="Times New Roman" w:hAnsi="Times New Roman" w:cs="Times New Roman"/>
          <w:sz w:val="24"/>
          <w:szCs w:val="24"/>
        </w:rPr>
        <w:t>c</w:t>
      </w:r>
      <w:r w:rsidRPr="005A48E7">
        <w:rPr>
          <w:rFonts w:ascii="Times New Roman" w:hAnsi="Times New Roman" w:cs="Times New Roman"/>
          <w:sz w:val="24"/>
          <w:szCs w:val="24"/>
        </w:rPr>
        <w:t>rescimento. É provável que essa expansão continue a ser atraente para empresas internacionais e grandes grupos nacionais ao longo da cadeia de valor. Nos mercados desenvolvidos, especialmente nos E</w:t>
      </w:r>
      <w:r w:rsidR="009C3277">
        <w:rPr>
          <w:rFonts w:ascii="Times New Roman" w:hAnsi="Times New Roman" w:cs="Times New Roman"/>
          <w:sz w:val="24"/>
          <w:szCs w:val="24"/>
        </w:rPr>
        <w:t>stados Unidos,</w:t>
      </w:r>
      <w:r w:rsidRPr="005A48E7">
        <w:rPr>
          <w:rFonts w:ascii="Times New Roman" w:hAnsi="Times New Roman" w:cs="Times New Roman"/>
          <w:sz w:val="24"/>
          <w:szCs w:val="24"/>
        </w:rPr>
        <w:t xml:space="preserve"> também estamos vendo um aumento na atividade de fusões e aquisições em serviços veterinários, com vários grupos de plataformas escalando rapidamente</w:t>
      </w:r>
      <w:r>
        <w:rPr>
          <w:rFonts w:ascii="Times New Roman" w:hAnsi="Times New Roman" w:cs="Times New Roman"/>
          <w:sz w:val="24"/>
          <w:szCs w:val="24"/>
        </w:rPr>
        <w:t>”, destaca Adam Patterson. “</w:t>
      </w:r>
      <w:r w:rsidRPr="005A48E7">
        <w:rPr>
          <w:rFonts w:ascii="Times New Roman" w:hAnsi="Times New Roman" w:cs="Times New Roman"/>
          <w:sz w:val="24"/>
          <w:szCs w:val="24"/>
        </w:rPr>
        <w:t>No geral, novas tecnologias em agricultura de precisão, produtos farmacêuticos e diagnósticos serão algumas das principais áreas de interesse, promovendo novas parcerias, entrada em novos mercados e acordos estratégicos de fusões e aquisições. Podemos esperar mais negociações, consolidação e um cenário industrial cada vez mais competitivo e inovador</w:t>
      </w:r>
      <w:r>
        <w:rPr>
          <w:rFonts w:ascii="Times New Roman" w:hAnsi="Times New Roman" w:cs="Times New Roman"/>
          <w:sz w:val="24"/>
          <w:szCs w:val="24"/>
        </w:rPr>
        <w:t>”, complementa.</w:t>
      </w:r>
    </w:p>
    <w:p w14:paraId="606F03FF" w14:textId="77777777" w:rsidR="00301AC3" w:rsidRPr="00FD6108" w:rsidRDefault="00301AC3" w:rsidP="00A94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D6108">
        <w:rPr>
          <w:rFonts w:ascii="Times New Roman" w:eastAsia="Times New Roman" w:hAnsi="Times New Roman" w:cs="Times New Roman"/>
          <w:b/>
          <w:color w:val="000000"/>
        </w:rPr>
        <w:t>Sobre a Redirection International</w:t>
      </w:r>
    </w:p>
    <w:p w14:paraId="1DF932A4" w14:textId="77777777" w:rsidR="00301AC3" w:rsidRDefault="00301AC3" w:rsidP="00A94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FD6108">
        <w:rPr>
          <w:rFonts w:ascii="Times New Roman" w:eastAsia="Times New Roman" w:hAnsi="Times New Roman" w:cs="Times New Roman"/>
          <w:color w:val="000000"/>
        </w:rPr>
        <w:t xml:space="preserve">A Redirection é especializada em assessoria de Fusões &amp; Aquisições para empresas locais e internacionais, em transações de </w:t>
      </w:r>
      <w:r w:rsidRPr="00FD6108">
        <w:rPr>
          <w:rFonts w:ascii="Times New Roman" w:eastAsia="Times New Roman" w:hAnsi="Times New Roman" w:cs="Times New Roman"/>
          <w:i/>
          <w:color w:val="000000"/>
        </w:rPr>
        <w:t>middle market</w:t>
      </w:r>
      <w:r w:rsidRPr="00FD6108">
        <w:rPr>
          <w:rFonts w:ascii="Times New Roman" w:eastAsia="Times New Roman" w:hAnsi="Times New Roman" w:cs="Times New Roman"/>
          <w:color w:val="000000"/>
        </w:rPr>
        <w:t xml:space="preserve">. Possui uma grande experiência em transações </w:t>
      </w:r>
      <w:r w:rsidRPr="00FD6108">
        <w:rPr>
          <w:rFonts w:ascii="Times New Roman" w:eastAsia="Times New Roman" w:hAnsi="Times New Roman" w:cs="Times New Roman"/>
          <w:i/>
          <w:color w:val="000000"/>
        </w:rPr>
        <w:t>cross-border</w:t>
      </w:r>
      <w:r w:rsidRPr="00FD6108">
        <w:rPr>
          <w:rFonts w:ascii="Times New Roman" w:eastAsia="Times New Roman" w:hAnsi="Times New Roman" w:cs="Times New Roman"/>
          <w:color w:val="000000"/>
        </w:rPr>
        <w:t>, com equipe atuante diretamente no Brasil, América Latina, Estados Unidos e Reino Unido. É membro da ACG e, também, desenvolve uma rede de parceiros selecionados em todos os principais setores de negócios e regiões do mundo.  </w:t>
      </w:r>
      <w:hyperlink r:id="rId5">
        <w:r w:rsidRPr="00FD6108">
          <w:rPr>
            <w:rFonts w:ascii="Times New Roman" w:eastAsia="Times New Roman" w:hAnsi="Times New Roman" w:cs="Times New Roman"/>
            <w:color w:val="0000FF"/>
            <w:u w:val="single"/>
          </w:rPr>
          <w:t>https://www.redirection.com.br/</w:t>
        </w:r>
      </w:hyperlink>
    </w:p>
    <w:p w14:paraId="7C1891B8" w14:textId="77777777" w:rsidR="00301AC3" w:rsidRDefault="00301AC3" w:rsidP="0030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89620" w14:textId="77777777" w:rsidR="005A48E7" w:rsidRDefault="005A48E7" w:rsidP="007D07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F96AA39" w14:textId="77777777" w:rsidR="005A48E7" w:rsidRDefault="005A48E7" w:rsidP="007D07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5A4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51E5C"/>
    <w:multiLevelType w:val="hybridMultilevel"/>
    <w:tmpl w:val="D376E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71C4"/>
    <w:multiLevelType w:val="multilevel"/>
    <w:tmpl w:val="531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F963CA"/>
    <w:multiLevelType w:val="multilevel"/>
    <w:tmpl w:val="2F00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244EB0"/>
    <w:multiLevelType w:val="multilevel"/>
    <w:tmpl w:val="182A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60DE4"/>
    <w:multiLevelType w:val="hybridMultilevel"/>
    <w:tmpl w:val="3BEA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0C05"/>
    <w:multiLevelType w:val="hybridMultilevel"/>
    <w:tmpl w:val="8EC487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22B41"/>
    <w:multiLevelType w:val="multilevel"/>
    <w:tmpl w:val="37BC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7DF58E7"/>
    <w:multiLevelType w:val="hybridMultilevel"/>
    <w:tmpl w:val="F72AA494"/>
    <w:lvl w:ilvl="0" w:tplc="5BE83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B42FC"/>
    <w:multiLevelType w:val="multilevel"/>
    <w:tmpl w:val="13C2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20D51A7"/>
    <w:multiLevelType w:val="multilevel"/>
    <w:tmpl w:val="6D52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A883093"/>
    <w:multiLevelType w:val="multilevel"/>
    <w:tmpl w:val="5546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D767E5C"/>
    <w:multiLevelType w:val="multilevel"/>
    <w:tmpl w:val="ABEA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9416AB2"/>
    <w:multiLevelType w:val="hybridMultilevel"/>
    <w:tmpl w:val="FBDCE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611BC"/>
    <w:multiLevelType w:val="multilevel"/>
    <w:tmpl w:val="2B22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535627A"/>
    <w:multiLevelType w:val="multilevel"/>
    <w:tmpl w:val="6AE2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8412AF1"/>
    <w:multiLevelType w:val="hybridMultilevel"/>
    <w:tmpl w:val="2092E7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03543"/>
    <w:multiLevelType w:val="multilevel"/>
    <w:tmpl w:val="ED62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F6C2691"/>
    <w:multiLevelType w:val="hybridMultilevel"/>
    <w:tmpl w:val="8A88E8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19714">
    <w:abstractNumId w:val="7"/>
  </w:num>
  <w:num w:numId="2" w16cid:durableId="1930264215">
    <w:abstractNumId w:val="5"/>
  </w:num>
  <w:num w:numId="3" w16cid:durableId="820461576">
    <w:abstractNumId w:val="3"/>
  </w:num>
  <w:num w:numId="4" w16cid:durableId="747381328">
    <w:abstractNumId w:val="6"/>
  </w:num>
  <w:num w:numId="5" w16cid:durableId="462772099">
    <w:abstractNumId w:val="17"/>
  </w:num>
  <w:num w:numId="6" w16cid:durableId="1209997533">
    <w:abstractNumId w:val="0"/>
  </w:num>
  <w:num w:numId="7" w16cid:durableId="1221864982">
    <w:abstractNumId w:val="1"/>
  </w:num>
  <w:num w:numId="8" w16cid:durableId="1149903448">
    <w:abstractNumId w:val="2"/>
  </w:num>
  <w:num w:numId="9" w16cid:durableId="1798791779">
    <w:abstractNumId w:val="9"/>
  </w:num>
  <w:num w:numId="10" w16cid:durableId="94641977">
    <w:abstractNumId w:val="8"/>
  </w:num>
  <w:num w:numId="11" w16cid:durableId="537620458">
    <w:abstractNumId w:val="13"/>
  </w:num>
  <w:num w:numId="12" w16cid:durableId="1001007663">
    <w:abstractNumId w:val="16"/>
  </w:num>
  <w:num w:numId="13" w16cid:durableId="765342314">
    <w:abstractNumId w:val="14"/>
  </w:num>
  <w:num w:numId="14" w16cid:durableId="1904365249">
    <w:abstractNumId w:val="11"/>
  </w:num>
  <w:num w:numId="15" w16cid:durableId="252906139">
    <w:abstractNumId w:val="10"/>
  </w:num>
  <w:num w:numId="16" w16cid:durableId="2050912068">
    <w:abstractNumId w:val="12"/>
  </w:num>
  <w:num w:numId="17" w16cid:durableId="493765473">
    <w:abstractNumId w:val="15"/>
  </w:num>
  <w:num w:numId="18" w16cid:durableId="790824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85"/>
    <w:rsid w:val="000149CC"/>
    <w:rsid w:val="00044443"/>
    <w:rsid w:val="00084E7C"/>
    <w:rsid w:val="00091FEC"/>
    <w:rsid w:val="000A44A5"/>
    <w:rsid w:val="000E529C"/>
    <w:rsid w:val="00122885"/>
    <w:rsid w:val="001401C7"/>
    <w:rsid w:val="001C4924"/>
    <w:rsid w:val="001D045F"/>
    <w:rsid w:val="00234759"/>
    <w:rsid w:val="00236375"/>
    <w:rsid w:val="00295D6F"/>
    <w:rsid w:val="002C0BB5"/>
    <w:rsid w:val="002D6DEA"/>
    <w:rsid w:val="002E1B58"/>
    <w:rsid w:val="00301AC3"/>
    <w:rsid w:val="003A750C"/>
    <w:rsid w:val="003B2E3E"/>
    <w:rsid w:val="003C7862"/>
    <w:rsid w:val="003F6900"/>
    <w:rsid w:val="004461E0"/>
    <w:rsid w:val="004B292D"/>
    <w:rsid w:val="005A48E7"/>
    <w:rsid w:val="005E7919"/>
    <w:rsid w:val="0069676A"/>
    <w:rsid w:val="006A3A39"/>
    <w:rsid w:val="007D070B"/>
    <w:rsid w:val="00866821"/>
    <w:rsid w:val="00896222"/>
    <w:rsid w:val="008D2763"/>
    <w:rsid w:val="009609C0"/>
    <w:rsid w:val="009627CD"/>
    <w:rsid w:val="00986B8C"/>
    <w:rsid w:val="009A6923"/>
    <w:rsid w:val="009B3A58"/>
    <w:rsid w:val="009C3277"/>
    <w:rsid w:val="00A00BEB"/>
    <w:rsid w:val="00A17D41"/>
    <w:rsid w:val="00A94973"/>
    <w:rsid w:val="00B24655"/>
    <w:rsid w:val="00B2534F"/>
    <w:rsid w:val="00B769AD"/>
    <w:rsid w:val="00BB7054"/>
    <w:rsid w:val="00BE7021"/>
    <w:rsid w:val="00BF78E1"/>
    <w:rsid w:val="00C12951"/>
    <w:rsid w:val="00C259F0"/>
    <w:rsid w:val="00CA2E8E"/>
    <w:rsid w:val="00CC26E2"/>
    <w:rsid w:val="00D50347"/>
    <w:rsid w:val="00D61659"/>
    <w:rsid w:val="00D76C82"/>
    <w:rsid w:val="00E46588"/>
    <w:rsid w:val="00ED2202"/>
    <w:rsid w:val="00F5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E99D"/>
  <w15:chartTrackingRefBased/>
  <w15:docId w15:val="{C553905F-EF31-4A23-9BCF-85FDFD1F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2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2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2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2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2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2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2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2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2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2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22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2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28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288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28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288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28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28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2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2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2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2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2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288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28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288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2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288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28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2288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288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259F0"/>
    <w:rPr>
      <w:b/>
      <w:bCs/>
    </w:rPr>
  </w:style>
  <w:style w:type="paragraph" w:styleId="SemEspaamento">
    <w:name w:val="No Spacing"/>
    <w:uiPriority w:val="1"/>
    <w:qFormat/>
    <w:rsid w:val="006A3A39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B2534F"/>
    <w:rPr>
      <w:color w:val="96607D" w:themeColor="followedHyperlink"/>
      <w:u w:val="single"/>
    </w:rPr>
  </w:style>
  <w:style w:type="character" w:customStyle="1" w:styleId="y2iqfc">
    <w:name w:val="y2iqfc"/>
    <w:basedOn w:val="Fontepargpadro"/>
    <w:qFormat/>
    <w:rsid w:val="00E4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direction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857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Castro | Redirection</dc:creator>
  <cp:keywords/>
  <dc:description/>
  <cp:lastModifiedBy>Karina Lançoni Bernardi</cp:lastModifiedBy>
  <cp:revision>5</cp:revision>
  <dcterms:created xsi:type="dcterms:W3CDTF">2024-08-13T14:40:00Z</dcterms:created>
  <dcterms:modified xsi:type="dcterms:W3CDTF">2024-08-14T19:07:00Z</dcterms:modified>
</cp:coreProperties>
</file>