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D61C" w14:textId="7F296575" w:rsidR="00394628" w:rsidRPr="003C1054" w:rsidRDefault="00394628" w:rsidP="003C105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1054">
        <w:rPr>
          <w:rFonts w:ascii="Times New Roman" w:hAnsi="Times New Roman" w:cs="Times New Roman"/>
          <w:b/>
          <w:bCs/>
          <w:sz w:val="26"/>
          <w:szCs w:val="26"/>
        </w:rPr>
        <w:t xml:space="preserve">Aumento da Selic não deve impactar de imediato </w:t>
      </w:r>
      <w:r w:rsidR="00966620">
        <w:rPr>
          <w:rFonts w:ascii="Times New Roman" w:hAnsi="Times New Roman" w:cs="Times New Roman"/>
          <w:b/>
          <w:bCs/>
          <w:sz w:val="26"/>
          <w:szCs w:val="26"/>
        </w:rPr>
        <w:t xml:space="preserve">o </w:t>
      </w:r>
      <w:r w:rsidRPr="003C1054">
        <w:rPr>
          <w:rFonts w:ascii="Times New Roman" w:hAnsi="Times New Roman" w:cs="Times New Roman"/>
          <w:b/>
          <w:bCs/>
          <w:sz w:val="26"/>
          <w:szCs w:val="26"/>
        </w:rPr>
        <w:t>mercado imobiliário, avalia especialista</w:t>
      </w:r>
    </w:p>
    <w:p w14:paraId="30806BF0" w14:textId="7384CB01" w:rsidR="00394628" w:rsidRPr="003C1054" w:rsidRDefault="00616115" w:rsidP="003C1054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C1054">
        <w:rPr>
          <w:rFonts w:ascii="Times New Roman" w:hAnsi="Times New Roman" w:cs="Times New Roman"/>
          <w:i/>
          <w:iCs/>
          <w:sz w:val="26"/>
          <w:szCs w:val="26"/>
        </w:rPr>
        <w:t>Com mercado imobiliário aquecido, setor da construção civil não deve sentir o</w:t>
      </w:r>
      <w:r w:rsidR="00394628" w:rsidRPr="003C1054">
        <w:rPr>
          <w:rFonts w:ascii="Times New Roman" w:hAnsi="Times New Roman" w:cs="Times New Roman"/>
          <w:i/>
          <w:iCs/>
          <w:sz w:val="26"/>
          <w:szCs w:val="26"/>
        </w:rPr>
        <w:t xml:space="preserve"> aumento de 0,</w:t>
      </w:r>
      <w:r w:rsidR="003C1054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394628" w:rsidRPr="003C1054">
        <w:rPr>
          <w:rFonts w:ascii="Times New Roman" w:hAnsi="Times New Roman" w:cs="Times New Roman"/>
          <w:i/>
          <w:iCs/>
          <w:sz w:val="26"/>
          <w:szCs w:val="26"/>
        </w:rPr>
        <w:t>5%</w:t>
      </w:r>
      <w:r w:rsidRPr="003C10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94628" w:rsidRPr="003C1054">
        <w:rPr>
          <w:rFonts w:ascii="Times New Roman" w:hAnsi="Times New Roman" w:cs="Times New Roman"/>
          <w:i/>
          <w:iCs/>
          <w:sz w:val="26"/>
          <w:szCs w:val="26"/>
        </w:rPr>
        <w:t xml:space="preserve">na taxa básica de juros </w:t>
      </w:r>
      <w:r w:rsidRPr="003C1054">
        <w:rPr>
          <w:rFonts w:ascii="Times New Roman" w:hAnsi="Times New Roman" w:cs="Times New Roman"/>
          <w:i/>
          <w:iCs/>
          <w:sz w:val="26"/>
          <w:szCs w:val="26"/>
        </w:rPr>
        <w:t>anunciado nesta quarta-feira pelo Copom; estimativa é que a indústria da construção civil feche 2024 com crescimento</w:t>
      </w:r>
      <w:r w:rsidR="003C1054" w:rsidRPr="003C1054">
        <w:rPr>
          <w:rFonts w:ascii="Times New Roman" w:hAnsi="Times New Roman" w:cs="Times New Roman"/>
          <w:i/>
          <w:iCs/>
          <w:sz w:val="26"/>
          <w:szCs w:val="26"/>
        </w:rPr>
        <w:t xml:space="preserve"> de</w:t>
      </w:r>
      <w:r w:rsidRPr="003C1054">
        <w:rPr>
          <w:rFonts w:ascii="Times New Roman" w:hAnsi="Times New Roman" w:cs="Times New Roman"/>
          <w:i/>
          <w:iCs/>
          <w:sz w:val="26"/>
          <w:szCs w:val="26"/>
        </w:rPr>
        <w:t xml:space="preserve"> 3%</w:t>
      </w:r>
    </w:p>
    <w:p w14:paraId="3FA5DBA6" w14:textId="77777777" w:rsidR="00966620" w:rsidRDefault="00616115" w:rsidP="008B5824">
      <w:pPr>
        <w:jc w:val="both"/>
        <w:rPr>
          <w:rFonts w:ascii="Times New Roman" w:hAnsi="Times New Roman" w:cs="Times New Roman"/>
          <w:sz w:val="24"/>
          <w:szCs w:val="24"/>
        </w:rPr>
      </w:pPr>
      <w:r w:rsidRPr="00974218">
        <w:rPr>
          <w:rFonts w:ascii="Times New Roman" w:hAnsi="Times New Roman" w:cs="Times New Roman"/>
          <w:sz w:val="24"/>
          <w:szCs w:val="24"/>
        </w:rPr>
        <w:t>O aumento de 0,</w:t>
      </w:r>
      <w:r w:rsidR="003C1054">
        <w:rPr>
          <w:rFonts w:ascii="Times New Roman" w:hAnsi="Times New Roman" w:cs="Times New Roman"/>
          <w:sz w:val="24"/>
          <w:szCs w:val="24"/>
        </w:rPr>
        <w:t>2</w:t>
      </w:r>
      <w:r w:rsidRPr="00974218">
        <w:rPr>
          <w:rFonts w:ascii="Times New Roman" w:hAnsi="Times New Roman" w:cs="Times New Roman"/>
          <w:sz w:val="24"/>
          <w:szCs w:val="24"/>
        </w:rPr>
        <w:t>5% na taxa básica de juros anunciado nesta quarta-feira (18) pelo Comitê de Política Monetária (Copom)</w:t>
      </w:r>
      <w:r w:rsidR="003C1054">
        <w:rPr>
          <w:rFonts w:ascii="Times New Roman" w:hAnsi="Times New Roman" w:cs="Times New Roman"/>
          <w:sz w:val="24"/>
          <w:szCs w:val="24"/>
        </w:rPr>
        <w:t xml:space="preserve"> do Banco Central</w:t>
      </w:r>
      <w:r w:rsidRPr="00974218">
        <w:rPr>
          <w:rFonts w:ascii="Times New Roman" w:hAnsi="Times New Roman" w:cs="Times New Roman"/>
          <w:sz w:val="24"/>
          <w:szCs w:val="24"/>
        </w:rPr>
        <w:t xml:space="preserve"> não deve impactar de forma imediata o setor da construção civil</w:t>
      </w:r>
      <w:r w:rsidR="00903D3F">
        <w:rPr>
          <w:rFonts w:ascii="Times New Roman" w:hAnsi="Times New Roman" w:cs="Times New Roman"/>
          <w:sz w:val="24"/>
          <w:szCs w:val="24"/>
        </w:rPr>
        <w:t>,</w:t>
      </w:r>
      <w:r w:rsidRPr="00974218">
        <w:rPr>
          <w:rFonts w:ascii="Times New Roman" w:hAnsi="Times New Roman" w:cs="Times New Roman"/>
          <w:sz w:val="24"/>
          <w:szCs w:val="24"/>
        </w:rPr>
        <w:t xml:space="preserve"> que </w:t>
      </w:r>
      <w:r w:rsidR="00903D3F">
        <w:rPr>
          <w:rFonts w:ascii="Times New Roman" w:hAnsi="Times New Roman" w:cs="Times New Roman"/>
          <w:sz w:val="24"/>
          <w:szCs w:val="24"/>
        </w:rPr>
        <w:t xml:space="preserve">deve fechar o ano </w:t>
      </w:r>
      <w:r w:rsidR="003C1054">
        <w:rPr>
          <w:rFonts w:ascii="Times New Roman" w:hAnsi="Times New Roman" w:cs="Times New Roman"/>
          <w:sz w:val="24"/>
          <w:szCs w:val="24"/>
        </w:rPr>
        <w:t>com saldo positivo</w:t>
      </w:r>
      <w:r w:rsidR="00903D3F">
        <w:rPr>
          <w:rFonts w:ascii="Times New Roman" w:hAnsi="Times New Roman" w:cs="Times New Roman"/>
          <w:sz w:val="24"/>
          <w:szCs w:val="24"/>
        </w:rPr>
        <w:t>, seguindo as projeções iniciais do mercado</w:t>
      </w:r>
      <w:r w:rsidRPr="00974218">
        <w:rPr>
          <w:rFonts w:ascii="Times New Roman" w:hAnsi="Times New Roman" w:cs="Times New Roman"/>
          <w:sz w:val="24"/>
          <w:szCs w:val="24"/>
        </w:rPr>
        <w:t>. A avaliação é da engenheira civil Ana Paula Zoller, sócia-diretora do Grupo Andrade Ribeiro</w:t>
      </w:r>
      <w:r w:rsidR="00903D3F">
        <w:rPr>
          <w:rFonts w:ascii="Times New Roman" w:hAnsi="Times New Roman" w:cs="Times New Roman"/>
          <w:sz w:val="24"/>
          <w:szCs w:val="24"/>
        </w:rPr>
        <w:t>, que há 45 anos atua na indústria da construção civil.</w:t>
      </w:r>
      <w:r w:rsidR="00966620">
        <w:rPr>
          <w:rFonts w:ascii="Times New Roman" w:hAnsi="Times New Roman" w:cs="Times New Roman"/>
          <w:sz w:val="24"/>
          <w:szCs w:val="24"/>
        </w:rPr>
        <w:t xml:space="preserve"> </w:t>
      </w:r>
      <w:r w:rsidR="00903D3F">
        <w:rPr>
          <w:rFonts w:ascii="Times New Roman" w:hAnsi="Times New Roman" w:cs="Times New Roman"/>
          <w:sz w:val="24"/>
          <w:szCs w:val="24"/>
        </w:rPr>
        <w:t>Um dos motivos para a estabilidade do setor</w:t>
      </w:r>
      <w:r w:rsidR="00F054D9">
        <w:rPr>
          <w:rFonts w:ascii="Times New Roman" w:hAnsi="Times New Roman" w:cs="Times New Roman"/>
          <w:sz w:val="24"/>
          <w:szCs w:val="24"/>
        </w:rPr>
        <w:t xml:space="preserve"> está, segundo a engenheira, n</w:t>
      </w:r>
      <w:r w:rsidR="00903D3F">
        <w:rPr>
          <w:rFonts w:ascii="Times New Roman" w:hAnsi="Times New Roman" w:cs="Times New Roman"/>
          <w:sz w:val="24"/>
          <w:szCs w:val="24"/>
        </w:rPr>
        <w:t xml:space="preserve">a resiliência </w:t>
      </w:r>
      <w:r w:rsidR="003C1054">
        <w:rPr>
          <w:rFonts w:ascii="Times New Roman" w:hAnsi="Times New Roman" w:cs="Times New Roman"/>
          <w:sz w:val="24"/>
          <w:szCs w:val="24"/>
        </w:rPr>
        <w:t xml:space="preserve">que </w:t>
      </w:r>
      <w:r w:rsidR="00903D3F">
        <w:rPr>
          <w:rFonts w:ascii="Times New Roman" w:hAnsi="Times New Roman" w:cs="Times New Roman"/>
          <w:sz w:val="24"/>
          <w:szCs w:val="24"/>
        </w:rPr>
        <w:t xml:space="preserve">o </w:t>
      </w:r>
      <w:r w:rsidR="00F054D9">
        <w:rPr>
          <w:rFonts w:ascii="Times New Roman" w:hAnsi="Times New Roman" w:cs="Times New Roman"/>
          <w:sz w:val="24"/>
          <w:szCs w:val="24"/>
        </w:rPr>
        <w:t>segmento vem demonstrando</w:t>
      </w:r>
      <w:r w:rsidR="00903D3F">
        <w:rPr>
          <w:rFonts w:ascii="Times New Roman" w:hAnsi="Times New Roman" w:cs="Times New Roman"/>
          <w:sz w:val="24"/>
          <w:szCs w:val="24"/>
        </w:rPr>
        <w:t xml:space="preserve"> nos últimos anos</w:t>
      </w:r>
      <w:r w:rsidR="00F054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B0329" w14:textId="7C540B10" w:rsidR="00903D3F" w:rsidRDefault="00F054D9" w:rsidP="008B58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 lembra qu</w:t>
      </w:r>
      <w:r w:rsidR="00903D3F">
        <w:rPr>
          <w:rFonts w:ascii="Times New Roman" w:hAnsi="Times New Roman" w:cs="Times New Roman"/>
          <w:sz w:val="24"/>
          <w:szCs w:val="24"/>
        </w:rPr>
        <w:t xml:space="preserve">e </w:t>
      </w:r>
      <w:r w:rsidR="00966620">
        <w:rPr>
          <w:rFonts w:ascii="Times New Roman" w:hAnsi="Times New Roman" w:cs="Times New Roman"/>
          <w:sz w:val="24"/>
          <w:szCs w:val="24"/>
        </w:rPr>
        <w:t xml:space="preserve">após dois anos de quedas ou estabilidade na taxa Selic, </w:t>
      </w:r>
      <w:r w:rsidR="00903D3F">
        <w:rPr>
          <w:rFonts w:ascii="Times New Roman" w:hAnsi="Times New Roman" w:cs="Times New Roman"/>
          <w:sz w:val="24"/>
          <w:szCs w:val="24"/>
        </w:rPr>
        <w:t xml:space="preserve">muitos </w:t>
      </w:r>
      <w:r>
        <w:rPr>
          <w:rFonts w:ascii="Times New Roman" w:hAnsi="Times New Roman" w:cs="Times New Roman"/>
          <w:sz w:val="24"/>
          <w:szCs w:val="24"/>
        </w:rPr>
        <w:t xml:space="preserve">grandes </w:t>
      </w:r>
      <w:r w:rsidR="00903D3F">
        <w:rPr>
          <w:rFonts w:ascii="Times New Roman" w:hAnsi="Times New Roman" w:cs="Times New Roman"/>
          <w:sz w:val="24"/>
          <w:szCs w:val="24"/>
        </w:rPr>
        <w:t>players do mercado já vinham se preparando para um cenário de juros mais altos, ajustando suas estratégias financeiras e operacionais para mitigar o impacto de uma possível oscilação n</w:t>
      </w:r>
      <w:r w:rsidR="00966620">
        <w:rPr>
          <w:rFonts w:ascii="Times New Roman" w:hAnsi="Times New Roman" w:cs="Times New Roman"/>
          <w:sz w:val="24"/>
          <w:szCs w:val="24"/>
        </w:rPr>
        <w:t>os juros,</w:t>
      </w:r>
      <w:r w:rsidR="00903D3F">
        <w:rPr>
          <w:rFonts w:ascii="Times New Roman" w:hAnsi="Times New Roman" w:cs="Times New Roman"/>
          <w:sz w:val="24"/>
          <w:szCs w:val="24"/>
        </w:rPr>
        <w:t xml:space="preserve"> o que deve manter o setor relativamente equilibrado</w:t>
      </w:r>
      <w:r w:rsidR="00966620">
        <w:rPr>
          <w:rFonts w:ascii="Times New Roman" w:hAnsi="Times New Roman" w:cs="Times New Roman"/>
          <w:sz w:val="24"/>
          <w:szCs w:val="24"/>
        </w:rPr>
        <w:t xml:space="preserve"> e</w:t>
      </w:r>
      <w:r w:rsidR="00903D3F">
        <w:rPr>
          <w:rFonts w:ascii="Times New Roman" w:hAnsi="Times New Roman" w:cs="Times New Roman"/>
          <w:sz w:val="24"/>
          <w:szCs w:val="24"/>
        </w:rPr>
        <w:t xml:space="preserve"> sem grandes retrações </w:t>
      </w:r>
      <w:r w:rsidR="00966620">
        <w:rPr>
          <w:rFonts w:ascii="Times New Roman" w:hAnsi="Times New Roman" w:cs="Times New Roman"/>
          <w:sz w:val="24"/>
          <w:szCs w:val="24"/>
        </w:rPr>
        <w:t>a</w:t>
      </w:r>
      <w:r w:rsidR="00903D3F">
        <w:rPr>
          <w:rFonts w:ascii="Times New Roman" w:hAnsi="Times New Roman" w:cs="Times New Roman"/>
          <w:sz w:val="24"/>
          <w:szCs w:val="24"/>
        </w:rPr>
        <w:t xml:space="preserve"> curto prazo. “O aumento anunciado é moderado e não deve impactar profundamente o setor da construção civil, mantendo as operações dentro de um patamar estável. Essa resiliência pode ser atribuída a diversos fatores, como a demanda sólida por imóveis, especialmente em segmentos populares e de médio padrão, bem como à continuidade de políticas de financiamento habitacional com taxas atrativas para o consumidor, como o programa Minha </w:t>
      </w:r>
      <w:r w:rsidR="00EA515F">
        <w:rPr>
          <w:rFonts w:ascii="Times New Roman" w:hAnsi="Times New Roman" w:cs="Times New Roman"/>
          <w:sz w:val="24"/>
          <w:szCs w:val="24"/>
        </w:rPr>
        <w:t>C</w:t>
      </w:r>
      <w:r w:rsidR="00903D3F">
        <w:rPr>
          <w:rFonts w:ascii="Times New Roman" w:hAnsi="Times New Roman" w:cs="Times New Roman"/>
          <w:sz w:val="24"/>
          <w:szCs w:val="24"/>
        </w:rPr>
        <w:t xml:space="preserve">asa Minha Vida, por exemplo”, </w:t>
      </w:r>
      <w:r>
        <w:rPr>
          <w:rFonts w:ascii="Times New Roman" w:hAnsi="Times New Roman" w:cs="Times New Roman"/>
          <w:sz w:val="24"/>
          <w:szCs w:val="24"/>
        </w:rPr>
        <w:t>destaca</w:t>
      </w:r>
      <w:r w:rsidR="00903D3F">
        <w:rPr>
          <w:rFonts w:ascii="Times New Roman" w:hAnsi="Times New Roman" w:cs="Times New Roman"/>
          <w:sz w:val="24"/>
          <w:szCs w:val="24"/>
        </w:rPr>
        <w:t xml:space="preserve"> Ana Paula Zoller.</w:t>
      </w:r>
    </w:p>
    <w:p w14:paraId="49067782" w14:textId="659435C7" w:rsidR="00903D3F" w:rsidRDefault="00F054D9" w:rsidP="00F05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Apesar do aumento na taxa básica de juros,</w:t>
      </w:r>
      <w:r w:rsidR="006E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outros</w:t>
      </w:r>
      <w:r w:rsidR="00966620">
        <w:rPr>
          <w:rFonts w:ascii="Times New Roman" w:hAnsi="Times New Roman" w:cs="Times New Roman"/>
          <w:sz w:val="24"/>
          <w:szCs w:val="24"/>
        </w:rPr>
        <w:t xml:space="preserve"> fatores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620">
        <w:rPr>
          <w:rFonts w:ascii="Times New Roman" w:hAnsi="Times New Roman" w:cs="Times New Roman"/>
          <w:sz w:val="24"/>
          <w:szCs w:val="24"/>
        </w:rPr>
        <w:t>também devem ser levados em conta, pois</w:t>
      </w:r>
      <w:r>
        <w:rPr>
          <w:rFonts w:ascii="Times New Roman" w:hAnsi="Times New Roman" w:cs="Times New Roman"/>
          <w:sz w:val="24"/>
          <w:szCs w:val="24"/>
        </w:rPr>
        <w:t xml:space="preserve"> influenciam</w:t>
      </w:r>
      <w:r w:rsidR="00966620">
        <w:rPr>
          <w:rFonts w:ascii="Times New Roman" w:hAnsi="Times New Roman" w:cs="Times New Roman"/>
          <w:sz w:val="24"/>
          <w:szCs w:val="24"/>
        </w:rPr>
        <w:t xml:space="preserve"> diretamente</w:t>
      </w:r>
      <w:r>
        <w:rPr>
          <w:rFonts w:ascii="Times New Roman" w:hAnsi="Times New Roman" w:cs="Times New Roman"/>
          <w:sz w:val="24"/>
          <w:szCs w:val="24"/>
        </w:rPr>
        <w:t xml:space="preserve"> o mercado imobiliário e, consequentemente a </w:t>
      </w:r>
      <w:r w:rsidRPr="00F054D9">
        <w:rPr>
          <w:rFonts w:ascii="Times New Roman" w:hAnsi="Times New Roman" w:cs="Times New Roman"/>
          <w:sz w:val="24"/>
          <w:szCs w:val="24"/>
        </w:rPr>
        <w:t>construção civil.</w:t>
      </w:r>
      <w:r w:rsidR="00903D3F" w:rsidRPr="00F0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 Paula Zoller explica que u</w:t>
      </w:r>
      <w:r w:rsidR="00903D3F" w:rsidRPr="00F054D9">
        <w:rPr>
          <w:rFonts w:ascii="Times New Roman" w:hAnsi="Times New Roman" w:cs="Times New Roman"/>
          <w:sz w:val="24"/>
          <w:szCs w:val="24"/>
        </w:rPr>
        <w:t xml:space="preserve">m dos principais é a manutenção de uma inflação controlada, o que preserva o poder de compra da população e proporciona maior estabilidade econômica.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03D3F" w:rsidRPr="00F054D9">
        <w:rPr>
          <w:rFonts w:ascii="Times New Roman" w:hAnsi="Times New Roman" w:cs="Times New Roman"/>
          <w:sz w:val="24"/>
          <w:szCs w:val="24"/>
        </w:rPr>
        <w:t>Além disso, o acesso facilitado a financiamentos bancários desempenha um papel crucial, permitindo que mais pessoas tenham condições de adquirir imóveis, impulsionando tanto as vendas quanto novos investimentos no setor. Taxas de juros competitivas, prazos flexíveis e a simplificação dos processos de crédito são aspectos que contribuem diretamente para um ambiente mais favorável ao crescimento do mercado</w:t>
      </w:r>
      <w:r>
        <w:rPr>
          <w:rFonts w:ascii="Times New Roman" w:hAnsi="Times New Roman" w:cs="Times New Roman"/>
          <w:sz w:val="24"/>
          <w:szCs w:val="24"/>
        </w:rPr>
        <w:t>”, complementa</w:t>
      </w:r>
      <w:r w:rsidR="00903D3F" w:rsidRPr="00F054D9">
        <w:rPr>
          <w:rFonts w:ascii="Times New Roman" w:hAnsi="Times New Roman" w:cs="Times New Roman"/>
          <w:sz w:val="24"/>
          <w:szCs w:val="24"/>
        </w:rPr>
        <w:t>. </w:t>
      </w:r>
    </w:p>
    <w:p w14:paraId="1A742498" w14:textId="5EDBB9F3" w:rsidR="00974218" w:rsidRDefault="00F054D9" w:rsidP="00F054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Em julho, a Câmara Brasileira da Indústria da Construção (CBIC) revisou para</w:t>
      </w:r>
      <w:r w:rsidR="003C1054">
        <w:rPr>
          <w:rFonts w:ascii="Times New Roman" w:hAnsi="Times New Roman" w:cs="Times New Roman"/>
          <w:sz w:val="24"/>
          <w:szCs w:val="24"/>
        </w:rPr>
        <w:t xml:space="preserve"> cima a projeção de crescimento do setor </w:t>
      </w:r>
      <w:r w:rsidR="00966620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3% </w:t>
      </w:r>
      <w:r w:rsidR="00966620">
        <w:rPr>
          <w:rFonts w:ascii="Times New Roman" w:hAnsi="Times New Roman" w:cs="Times New Roman"/>
          <w:sz w:val="24"/>
          <w:szCs w:val="24"/>
        </w:rPr>
        <w:t>em</w:t>
      </w:r>
      <w:r w:rsidR="003C1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</w:t>
      </w:r>
      <w:r w:rsidR="006E1928">
        <w:rPr>
          <w:rFonts w:ascii="Times New Roman" w:hAnsi="Times New Roman" w:cs="Times New Roman"/>
          <w:sz w:val="24"/>
          <w:szCs w:val="24"/>
        </w:rPr>
        <w:t xml:space="preserve"> No início do ano, a estimativa era de aumento de 1,3%, </w:t>
      </w:r>
      <w:r w:rsidR="003C1054">
        <w:rPr>
          <w:rFonts w:ascii="Times New Roman" w:hAnsi="Times New Roman" w:cs="Times New Roman"/>
          <w:sz w:val="24"/>
          <w:szCs w:val="24"/>
        </w:rPr>
        <w:t xml:space="preserve">previsão </w:t>
      </w:r>
      <w:r w:rsidR="006E1928">
        <w:rPr>
          <w:rFonts w:ascii="Times New Roman" w:hAnsi="Times New Roman" w:cs="Times New Roman"/>
          <w:sz w:val="24"/>
          <w:szCs w:val="24"/>
        </w:rPr>
        <w:t xml:space="preserve">já </w:t>
      </w:r>
      <w:r w:rsidR="003C1054">
        <w:rPr>
          <w:rFonts w:ascii="Times New Roman" w:hAnsi="Times New Roman" w:cs="Times New Roman"/>
          <w:sz w:val="24"/>
          <w:szCs w:val="24"/>
        </w:rPr>
        <w:t>re</w:t>
      </w:r>
      <w:r w:rsidR="006E1928">
        <w:rPr>
          <w:rFonts w:ascii="Times New Roman" w:hAnsi="Times New Roman" w:cs="Times New Roman"/>
          <w:sz w:val="24"/>
          <w:szCs w:val="24"/>
        </w:rPr>
        <w:t>vista para 2,3% em março. Para a CBIC</w:t>
      </w:r>
      <w:r w:rsidR="003C1054">
        <w:rPr>
          <w:rFonts w:ascii="Times New Roman" w:hAnsi="Times New Roman" w:cs="Times New Roman"/>
          <w:sz w:val="24"/>
          <w:szCs w:val="24"/>
        </w:rPr>
        <w:t xml:space="preserve">, </w:t>
      </w:r>
      <w:r w:rsidR="006E1928">
        <w:rPr>
          <w:rFonts w:ascii="Times New Roman" w:hAnsi="Times New Roman" w:cs="Times New Roman"/>
          <w:sz w:val="24"/>
          <w:szCs w:val="24"/>
        </w:rPr>
        <w:t xml:space="preserve">o aumento na taxa básica de juros </w:t>
      </w:r>
      <w:r w:rsidR="003C1054">
        <w:rPr>
          <w:rFonts w:ascii="Times New Roman" w:hAnsi="Times New Roman" w:cs="Times New Roman"/>
          <w:sz w:val="24"/>
          <w:szCs w:val="24"/>
        </w:rPr>
        <w:t>tende a</w:t>
      </w:r>
      <w:r w:rsidR="006E1928">
        <w:rPr>
          <w:rFonts w:ascii="Times New Roman" w:hAnsi="Times New Roman" w:cs="Times New Roman"/>
          <w:sz w:val="24"/>
          <w:szCs w:val="24"/>
        </w:rPr>
        <w:t xml:space="preserve"> ser prejudicial a longo prazo, uma vez que pode frear os investimentos em habitação e infraestrutura no Brasil.</w:t>
      </w:r>
      <w:r w:rsidR="003C1054">
        <w:rPr>
          <w:rFonts w:ascii="Times New Roman" w:hAnsi="Times New Roman" w:cs="Times New Roman"/>
          <w:sz w:val="24"/>
          <w:szCs w:val="24"/>
        </w:rPr>
        <w:t xml:space="preserve"> Com a elevação desta quarta-feira, a taxa básica de juros da economia brasileira passou de 10,5% para 10,75% ao ano.</w:t>
      </w:r>
    </w:p>
    <w:p w14:paraId="67AF86B8" w14:textId="2EF08A82" w:rsidR="00974218" w:rsidRPr="00974218" w:rsidRDefault="00974218" w:rsidP="00974218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  <w:b/>
          <w:bCs/>
        </w:rPr>
        <w:t xml:space="preserve">Sobre a </w:t>
      </w:r>
      <w:r w:rsidR="003C1054">
        <w:rPr>
          <w:rFonts w:ascii="Times New Roman" w:hAnsi="Times New Roman" w:cs="Times New Roman"/>
          <w:b/>
          <w:bCs/>
        </w:rPr>
        <w:t>C</w:t>
      </w:r>
      <w:r w:rsidRPr="00974218">
        <w:rPr>
          <w:rFonts w:ascii="Times New Roman" w:hAnsi="Times New Roman" w:cs="Times New Roman"/>
          <w:b/>
          <w:bCs/>
        </w:rPr>
        <w:t>onstrutora Andrade Ribeiro</w:t>
      </w:r>
      <w:r w:rsidRPr="00974218">
        <w:rPr>
          <w:rFonts w:ascii="Times New Roman" w:hAnsi="Times New Roman" w:cs="Times New Roman"/>
        </w:rPr>
        <w:t> </w:t>
      </w:r>
    </w:p>
    <w:p w14:paraId="59CF929A" w14:textId="28C63592" w:rsidR="00974218" w:rsidRPr="00974218" w:rsidRDefault="00974218" w:rsidP="00974218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</w:rPr>
        <w:t xml:space="preserve">A história de sucesso da Andrade Ribeiro começou em 1978, com a atuação destacada de dois jovens engenheiros, Joaquim Ribas de Andrade Neto e Erlon Donovan Rotta Ribeiro, em obras </w:t>
      </w:r>
      <w:r w:rsidRPr="00974218">
        <w:rPr>
          <w:rFonts w:ascii="Times New Roman" w:hAnsi="Times New Roman" w:cs="Times New Roman"/>
        </w:rPr>
        <w:lastRenderedPageBreak/>
        <w:t>públicas e privadas de grande porte, onde já era possível ver a marca de qualidade e profissionalismo presente em todos os produtos da empresa. Hoje, 45 anos depois, é fácil reconhecer a assinatura da Andrade Ribeiro em um empreendimento. São obras residenciais e comerciais com características especiais, que antecipam tendências no setor imobiliário da capital paranaense. Obras que são resultado de um somatório de talentos, que vai desde o fornecedor até o aperfeiçoamento constante de pessoal, passando pela escolha da localização adequada e reciclagem de material na própria obra. Por trás de cada obra assinada pela Andrade Ribeiro, existe um compromisso que se renova constantemente com os princípios que fundamentam o trabalho da Construtora. Garantir segurança aos seus clientes, pelo profissionalismo de toda sua equipe e o vasto acervo de obras entregues e privilegiar a qualidade dos seus produtos, através dos critérios de definição e apurado padrão de execução. </w:t>
      </w:r>
    </w:p>
    <w:p w14:paraId="0B380487" w14:textId="77777777" w:rsidR="00974218" w:rsidRPr="00974218" w:rsidRDefault="00974218" w:rsidP="00974218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</w:rPr>
        <w:t> </w:t>
      </w:r>
    </w:p>
    <w:sectPr w:rsidR="00974218" w:rsidRPr="00974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64"/>
    <w:rsid w:val="000458F8"/>
    <w:rsid w:val="00394628"/>
    <w:rsid w:val="003C1054"/>
    <w:rsid w:val="003C1394"/>
    <w:rsid w:val="00511012"/>
    <w:rsid w:val="00513F54"/>
    <w:rsid w:val="00616115"/>
    <w:rsid w:val="00675746"/>
    <w:rsid w:val="006E1928"/>
    <w:rsid w:val="008B5824"/>
    <w:rsid w:val="00903D3F"/>
    <w:rsid w:val="00966620"/>
    <w:rsid w:val="00974218"/>
    <w:rsid w:val="00A77D64"/>
    <w:rsid w:val="00BE0BF4"/>
    <w:rsid w:val="00DB553E"/>
    <w:rsid w:val="00EA515F"/>
    <w:rsid w:val="00F0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9799"/>
  <w15:chartTrackingRefBased/>
  <w15:docId w15:val="{4541230E-C133-47C6-BCC2-5588C40A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26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664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Lucyus Andrade</dc:creator>
  <cp:keywords/>
  <dc:description/>
  <cp:lastModifiedBy>Karina Lançoni Bernardi</cp:lastModifiedBy>
  <cp:revision>7</cp:revision>
  <dcterms:created xsi:type="dcterms:W3CDTF">2024-09-18T19:54:00Z</dcterms:created>
  <dcterms:modified xsi:type="dcterms:W3CDTF">2024-09-19T19:47:00Z</dcterms:modified>
</cp:coreProperties>
</file>